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8EE3050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2C7216">
        <w:rPr>
          <w:rFonts w:ascii="Arial" w:hAnsi="Arial" w:cs="Arial"/>
          <w:b/>
          <w:szCs w:val="28"/>
          <w:lang w:val="en-US"/>
        </w:rPr>
        <w:t>3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D83109" w:rsidRPr="00D83109">
        <w:rPr>
          <w:rFonts w:ascii="Arial" w:hAnsi="Arial" w:cs="Arial"/>
          <w:b/>
          <w:szCs w:val="28"/>
          <w:lang w:val="en-US"/>
        </w:rPr>
        <w:t>R4-2</w:t>
      </w:r>
      <w:r w:rsidR="00522D42">
        <w:rPr>
          <w:rFonts w:ascii="Arial" w:hAnsi="Arial" w:cs="Arial"/>
          <w:b/>
          <w:szCs w:val="28"/>
          <w:lang w:val="en-US"/>
        </w:rPr>
        <w:t>20</w:t>
      </w:r>
      <w:r w:rsidR="00311190">
        <w:rPr>
          <w:rFonts w:ascii="Arial" w:hAnsi="Arial" w:cs="Arial"/>
          <w:b/>
          <w:szCs w:val="28"/>
          <w:lang w:val="en-US"/>
        </w:rPr>
        <w:t>10174</w:t>
      </w:r>
    </w:p>
    <w:p w14:paraId="60407F1B" w14:textId="63137B43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2C7216">
        <w:rPr>
          <w:rFonts w:ascii="Arial" w:hAnsi="Arial" w:cs="Arial"/>
          <w:b/>
          <w:szCs w:val="28"/>
          <w:lang w:val="en-US"/>
        </w:rPr>
        <w:t>09-20 May</w:t>
      </w:r>
      <w:r w:rsidR="00A8488B">
        <w:rPr>
          <w:rFonts w:ascii="Arial" w:hAnsi="Arial" w:cs="Arial"/>
          <w:b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25590F8B" w14:textId="7EA03A5E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2C7216">
        <w:rPr>
          <w:rFonts w:ascii="Arial" w:hAnsi="Arial" w:cs="Arial"/>
          <w:bCs/>
          <w:sz w:val="22"/>
          <w:szCs w:val="22"/>
          <w:lang w:val="en-US"/>
        </w:rPr>
        <w:t>9</w:t>
      </w:r>
      <w:r w:rsidR="000266FE">
        <w:rPr>
          <w:rFonts w:ascii="Arial" w:hAnsi="Arial" w:cs="Arial"/>
          <w:bCs/>
          <w:sz w:val="22"/>
          <w:szCs w:val="22"/>
          <w:lang w:val="en-US"/>
        </w:rPr>
        <w:t>.1</w:t>
      </w:r>
      <w:r w:rsidR="002C7216">
        <w:rPr>
          <w:rFonts w:ascii="Arial" w:hAnsi="Arial" w:cs="Arial"/>
          <w:bCs/>
          <w:sz w:val="22"/>
          <w:szCs w:val="22"/>
          <w:lang w:val="en-US"/>
        </w:rPr>
        <w:t>6</w:t>
      </w:r>
      <w:r w:rsidR="000266FE">
        <w:rPr>
          <w:rFonts w:ascii="Arial" w:hAnsi="Arial" w:cs="Arial"/>
          <w:bCs/>
          <w:sz w:val="22"/>
          <w:szCs w:val="22"/>
          <w:lang w:val="en-US"/>
        </w:rPr>
        <w:t>.</w:t>
      </w:r>
      <w:r w:rsidR="002C7216">
        <w:rPr>
          <w:rFonts w:ascii="Arial" w:hAnsi="Arial" w:cs="Arial"/>
          <w:bCs/>
          <w:sz w:val="22"/>
          <w:szCs w:val="22"/>
          <w:lang w:val="en-US"/>
        </w:rPr>
        <w:t>5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3C9B4618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2831DC" w:rsidRPr="002831DC">
        <w:rPr>
          <w:rFonts w:ascii="Arial" w:hAnsi="Arial" w:cs="Arial"/>
          <w:sz w:val="22"/>
          <w:szCs w:val="22"/>
          <w:lang w:val="en-US"/>
        </w:rPr>
        <w:t>Impact on RRM performance requirements for enhanced IAB</w:t>
      </w:r>
    </w:p>
    <w:p w14:paraId="37EAE97F" w14:textId="3778AEC4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2381305" w14:textId="255B4473" w:rsidR="005C076B" w:rsidRDefault="00791C6F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</w:t>
      </w:r>
      <w:r w:rsidR="00A84D49">
        <w:rPr>
          <w:sz w:val="22"/>
          <w:szCs w:val="22"/>
          <w:lang w:val="en-US"/>
        </w:rPr>
        <w:t xml:space="preserve">RAN4 </w:t>
      </w:r>
      <w:r>
        <w:rPr>
          <w:sz w:val="22"/>
          <w:szCs w:val="22"/>
          <w:lang w:val="en-US"/>
        </w:rPr>
        <w:t xml:space="preserve">meeting </w:t>
      </w:r>
      <w:r w:rsidR="003E4D3E">
        <w:rPr>
          <w:sz w:val="22"/>
          <w:szCs w:val="22"/>
          <w:lang w:val="en-US"/>
        </w:rPr>
        <w:t xml:space="preserve">the work on the RRM core requirements </w:t>
      </w:r>
      <w:r>
        <w:rPr>
          <w:sz w:val="22"/>
          <w:szCs w:val="22"/>
          <w:lang w:val="en-US"/>
        </w:rPr>
        <w:t xml:space="preserve">for IAB enhancement was </w:t>
      </w:r>
      <w:r w:rsidR="003E4D3E">
        <w:rPr>
          <w:sz w:val="22"/>
          <w:szCs w:val="22"/>
          <w:lang w:val="en-US"/>
        </w:rPr>
        <w:t xml:space="preserve">finalized </w:t>
      </w:r>
      <w:r w:rsidR="00A84D49">
        <w:rPr>
          <w:sz w:val="22"/>
          <w:szCs w:val="22"/>
          <w:lang w:val="en-US"/>
        </w:rPr>
        <w:t xml:space="preserve">[1]. </w:t>
      </w:r>
    </w:p>
    <w:p w14:paraId="4BC9507D" w14:textId="143EAA95" w:rsidR="007639E1" w:rsidRPr="003860F6" w:rsidRDefault="003E4D3E" w:rsidP="00BB0A7A">
      <w:pPr>
        <w:spacing w:before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</w:t>
      </w:r>
      <w:r w:rsidR="0065006A">
        <w:rPr>
          <w:sz w:val="22"/>
          <w:szCs w:val="22"/>
          <w:lang w:val="en-US"/>
        </w:rPr>
        <w:t xml:space="preserve">we </w:t>
      </w:r>
      <w:r w:rsidR="002673F6">
        <w:rPr>
          <w:sz w:val="22"/>
          <w:szCs w:val="22"/>
          <w:lang w:val="en-US"/>
        </w:rPr>
        <w:t xml:space="preserve">further </w:t>
      </w:r>
      <w:r w:rsidR="0065006A">
        <w:rPr>
          <w:sz w:val="22"/>
          <w:szCs w:val="22"/>
          <w:lang w:val="en-US"/>
        </w:rPr>
        <w:t xml:space="preserve">analyze </w:t>
      </w:r>
      <w:r w:rsidR="00183017">
        <w:rPr>
          <w:sz w:val="22"/>
          <w:szCs w:val="22"/>
          <w:lang w:val="en-US"/>
        </w:rPr>
        <w:t xml:space="preserve">the </w:t>
      </w:r>
      <w:r>
        <w:rPr>
          <w:sz w:val="22"/>
          <w:szCs w:val="22"/>
          <w:lang w:val="en-US"/>
        </w:rPr>
        <w:t xml:space="preserve">impact on the RRM performance </w:t>
      </w:r>
      <w:r w:rsidR="000E4C15">
        <w:rPr>
          <w:sz w:val="22"/>
          <w:szCs w:val="22"/>
          <w:lang w:val="en-US"/>
        </w:rPr>
        <w:t xml:space="preserve">requirements </w:t>
      </w:r>
      <w:r w:rsidR="002673F6">
        <w:rPr>
          <w:sz w:val="22"/>
          <w:szCs w:val="22"/>
          <w:lang w:val="en-US"/>
        </w:rPr>
        <w:t>for IAB</w:t>
      </w:r>
      <w:r>
        <w:rPr>
          <w:sz w:val="22"/>
          <w:szCs w:val="22"/>
          <w:lang w:val="en-US"/>
        </w:rPr>
        <w:t xml:space="preserve"> in Rel-17</w:t>
      </w:r>
      <w:r w:rsidR="00183017">
        <w:rPr>
          <w:sz w:val="22"/>
          <w:szCs w:val="22"/>
          <w:lang w:val="en-US"/>
        </w:rPr>
        <w:t xml:space="preserve">. </w:t>
      </w:r>
    </w:p>
    <w:p w14:paraId="4FD27D7A" w14:textId="593EB725" w:rsidR="00ED4F29" w:rsidRPr="00082522" w:rsidRDefault="003E4D3E" w:rsidP="00E5047A">
      <w:pPr>
        <w:pStyle w:val="Heading1"/>
        <w:numPr>
          <w:ilvl w:val="0"/>
          <w:numId w:val="1"/>
        </w:numPr>
        <w:spacing w:after="0"/>
        <w:ind w:left="357" w:hanging="357"/>
      </w:pPr>
      <w:r>
        <w:t>Analysis of performance requirements</w:t>
      </w:r>
    </w:p>
    <w:p w14:paraId="4F540A10" w14:textId="21EBDCA9" w:rsidR="00386CFF" w:rsidRPr="00E53BBA" w:rsidRDefault="00386CFF" w:rsidP="00082522">
      <w:pPr>
        <w:spacing w:before="240"/>
        <w:rPr>
          <w:sz w:val="22"/>
          <w:szCs w:val="22"/>
          <w:lang w:val="en-US"/>
        </w:rPr>
      </w:pPr>
      <w:r w:rsidRPr="00E53BBA">
        <w:rPr>
          <w:sz w:val="22"/>
          <w:szCs w:val="22"/>
          <w:lang w:val="en-US"/>
        </w:rPr>
        <w:t>The performance requirements mainly comprise RRM test cases</w:t>
      </w:r>
      <w:r w:rsidR="00DC216C" w:rsidRPr="00E53BBA">
        <w:rPr>
          <w:sz w:val="22"/>
          <w:szCs w:val="22"/>
          <w:lang w:val="en-US"/>
        </w:rPr>
        <w:t xml:space="preserve"> to verify the core requirements for IAB-MT.</w:t>
      </w:r>
    </w:p>
    <w:p w14:paraId="0FBA71C7" w14:textId="77777777" w:rsidR="00AB4F1A" w:rsidRPr="00E53BBA" w:rsidRDefault="00DC216C" w:rsidP="00082522">
      <w:pPr>
        <w:spacing w:before="240"/>
        <w:rPr>
          <w:sz w:val="22"/>
          <w:szCs w:val="22"/>
          <w:lang w:val="en-US"/>
        </w:rPr>
      </w:pPr>
      <w:r w:rsidRPr="00E53BBA">
        <w:rPr>
          <w:sz w:val="22"/>
          <w:szCs w:val="22"/>
          <w:lang w:val="en-US"/>
        </w:rPr>
        <w:t xml:space="preserve">In Rel-17, the </w:t>
      </w:r>
      <w:r w:rsidR="00AB4F1A" w:rsidRPr="00E53BBA">
        <w:rPr>
          <w:sz w:val="22"/>
          <w:szCs w:val="22"/>
          <w:lang w:val="en-US"/>
        </w:rPr>
        <w:t>following core requirements have been introduced:</w:t>
      </w:r>
    </w:p>
    <w:p w14:paraId="081BC9EC" w14:textId="6D1FD0BD" w:rsidR="00386CFF" w:rsidRPr="00E53BBA" w:rsidRDefault="00AB4F1A" w:rsidP="00E5047A">
      <w:pPr>
        <w:pStyle w:val="ListParagraph"/>
        <w:numPr>
          <w:ilvl w:val="0"/>
          <w:numId w:val="48"/>
        </w:numPr>
        <w:spacing w:before="120"/>
        <w:ind w:left="357" w:hanging="357"/>
        <w:contextualSpacing w:val="0"/>
        <w:rPr>
          <w:rFonts w:ascii="Times New Roman" w:eastAsia="SimSun" w:hAnsi="Times New Roman"/>
          <w:szCs w:val="22"/>
          <w:lang w:val="en-GB" w:eastAsia="en-US"/>
        </w:rPr>
      </w:pPr>
      <w:r w:rsidRPr="00E53BBA">
        <w:rPr>
          <w:rFonts w:ascii="Times New Roman" w:hAnsi="Times New Roman"/>
          <w:szCs w:val="22"/>
        </w:rPr>
        <w:t xml:space="preserve">The </w:t>
      </w:r>
      <w:r w:rsidR="00DC216C" w:rsidRPr="00E53BBA">
        <w:rPr>
          <w:rFonts w:ascii="Times New Roman" w:hAnsi="Times New Roman"/>
          <w:szCs w:val="22"/>
        </w:rPr>
        <w:t>exist</w:t>
      </w:r>
      <w:r w:rsidR="005B65A2" w:rsidRPr="00E53BBA">
        <w:rPr>
          <w:rFonts w:ascii="Times New Roman" w:hAnsi="Times New Roman"/>
          <w:szCs w:val="22"/>
        </w:rPr>
        <w:t xml:space="preserve">ing IAB-MT transmit timing </w:t>
      </w:r>
      <w:r w:rsidR="00D021EE" w:rsidRPr="00E53BBA">
        <w:rPr>
          <w:rFonts w:ascii="Times New Roman" w:hAnsi="Times New Roman"/>
          <w:szCs w:val="22"/>
        </w:rPr>
        <w:t xml:space="preserve">requirements defined in clause 12.2.1 </w:t>
      </w:r>
      <w:r w:rsidR="00F04F49">
        <w:rPr>
          <w:rFonts w:ascii="Times New Roman" w:hAnsi="Times New Roman"/>
          <w:szCs w:val="22"/>
        </w:rPr>
        <w:t xml:space="preserve">are </w:t>
      </w:r>
      <w:r w:rsidR="00D021EE" w:rsidRPr="00E53BBA">
        <w:rPr>
          <w:rFonts w:ascii="Times New Roman" w:hAnsi="Times New Roman"/>
          <w:szCs w:val="22"/>
        </w:rPr>
        <w:t xml:space="preserve">made applicable for IAB-MT when </w:t>
      </w:r>
      <w:r w:rsidR="00386CFF" w:rsidRPr="00E53BBA">
        <w:rPr>
          <w:rFonts w:ascii="Times New Roman" w:eastAsia="SimSun" w:hAnsi="Times New Roman"/>
          <w:szCs w:val="22"/>
          <w:lang w:val="en-GB" w:eastAsia="en-US"/>
        </w:rPr>
        <w:t xml:space="preserve">the indicated IAB-MT </w:t>
      </w:r>
      <w:r w:rsidR="00386CFF" w:rsidRPr="00E53BBA">
        <w:rPr>
          <w:rFonts w:ascii="Times New Roman" w:eastAsia="SimSun" w:hAnsi="Times New Roman"/>
          <w:szCs w:val="22"/>
          <w:lang w:val="en-GB" w:eastAsia="zh-CN"/>
        </w:rPr>
        <w:t xml:space="preserve">transmission timing mode is set to ‘Case 1’ </w:t>
      </w:r>
      <w:r w:rsidR="00386CFF" w:rsidRPr="00E53BBA">
        <w:rPr>
          <w:rFonts w:ascii="Times New Roman" w:eastAsia="SimSun" w:hAnsi="Times New Roman"/>
          <w:szCs w:val="22"/>
          <w:lang w:val="en-GB" w:eastAsia="en-US"/>
        </w:rPr>
        <w:t>specified in clause 14 of TS 38.213 [10].</w:t>
      </w:r>
    </w:p>
    <w:p w14:paraId="17C4EC2D" w14:textId="70F3F5A1" w:rsidR="00443B32" w:rsidRDefault="00443B32" w:rsidP="00E5047A">
      <w:pPr>
        <w:pStyle w:val="ListParagraph"/>
        <w:numPr>
          <w:ilvl w:val="0"/>
          <w:numId w:val="48"/>
        </w:numPr>
        <w:spacing w:before="120"/>
        <w:ind w:left="357" w:hanging="357"/>
        <w:contextualSpacing w:val="0"/>
        <w:rPr>
          <w:rFonts w:ascii="Times New Roman" w:eastAsia="SimSun" w:hAnsi="Times New Roman"/>
          <w:szCs w:val="22"/>
          <w:lang w:val="en-GB" w:eastAsia="en-US"/>
        </w:rPr>
      </w:pPr>
      <w:r w:rsidRPr="00E53BBA">
        <w:rPr>
          <w:rFonts w:ascii="Times New Roman" w:hAnsi="Times New Roman"/>
          <w:szCs w:val="22"/>
        </w:rPr>
        <w:t>The existing IAB-MT TA adjustment accuracy requirements defined in clause 12.2.</w:t>
      </w:r>
      <w:r w:rsidR="00E53BBA" w:rsidRPr="00E53BBA">
        <w:rPr>
          <w:rFonts w:ascii="Times New Roman" w:hAnsi="Times New Roman"/>
          <w:szCs w:val="22"/>
        </w:rPr>
        <w:t>3</w:t>
      </w:r>
      <w:r w:rsidRPr="00E53BBA">
        <w:rPr>
          <w:rFonts w:ascii="Times New Roman" w:hAnsi="Times New Roman"/>
          <w:szCs w:val="22"/>
        </w:rPr>
        <w:t xml:space="preserve"> </w:t>
      </w:r>
      <w:r w:rsidR="00F04F49">
        <w:rPr>
          <w:rFonts w:ascii="Times New Roman" w:hAnsi="Times New Roman"/>
          <w:szCs w:val="22"/>
        </w:rPr>
        <w:t xml:space="preserve">are </w:t>
      </w:r>
      <w:r w:rsidRPr="00E53BBA">
        <w:rPr>
          <w:rFonts w:ascii="Times New Roman" w:hAnsi="Times New Roman"/>
          <w:szCs w:val="22"/>
        </w:rPr>
        <w:t xml:space="preserve">made applicable for IAB-MT when </w:t>
      </w:r>
      <w:r w:rsidRPr="00E53BBA">
        <w:rPr>
          <w:rFonts w:ascii="Times New Roman" w:eastAsia="SimSun" w:hAnsi="Times New Roman"/>
          <w:szCs w:val="22"/>
          <w:lang w:val="en-GB" w:eastAsia="en-US"/>
        </w:rPr>
        <w:t xml:space="preserve">the indicated IAB-MT </w:t>
      </w:r>
      <w:r w:rsidRPr="00E53BBA">
        <w:rPr>
          <w:rFonts w:ascii="Times New Roman" w:eastAsia="SimSun" w:hAnsi="Times New Roman"/>
          <w:szCs w:val="22"/>
          <w:lang w:val="en-GB" w:eastAsia="zh-CN"/>
        </w:rPr>
        <w:t xml:space="preserve">transmission timing mode is set to ‘Case 1’ </w:t>
      </w:r>
      <w:r w:rsidRPr="00E53BBA">
        <w:rPr>
          <w:rFonts w:ascii="Times New Roman" w:eastAsia="SimSun" w:hAnsi="Times New Roman"/>
          <w:szCs w:val="22"/>
          <w:lang w:val="en-GB" w:eastAsia="en-US"/>
        </w:rPr>
        <w:t>specified in clause 14 of TS 38.213 [10].</w:t>
      </w:r>
    </w:p>
    <w:p w14:paraId="29E7C4D0" w14:textId="39045A42" w:rsidR="004A7FEE" w:rsidRDefault="00E53BBA" w:rsidP="00082522">
      <w:pPr>
        <w:spacing w:before="240"/>
        <w:rPr>
          <w:rFonts w:eastAsia="SimSun"/>
          <w:sz w:val="22"/>
          <w:szCs w:val="22"/>
          <w:lang w:val="en-GB" w:eastAsia="en-US"/>
        </w:rPr>
      </w:pPr>
      <w:bookmarkStart w:id="3" w:name="_Hlk101819203"/>
      <w:r w:rsidRPr="003009B4">
        <w:rPr>
          <w:rFonts w:eastAsia="SimSun"/>
          <w:sz w:val="22"/>
          <w:szCs w:val="22"/>
          <w:lang w:val="en-GB" w:eastAsia="en-US"/>
        </w:rPr>
        <w:t>In Rel-16, the test cases are already defined to ver</w:t>
      </w:r>
      <w:r w:rsidR="004A7FEE">
        <w:rPr>
          <w:rFonts w:eastAsia="SimSun"/>
          <w:sz w:val="22"/>
          <w:szCs w:val="22"/>
          <w:lang w:val="en-GB" w:eastAsia="en-US"/>
        </w:rPr>
        <w:t>i</w:t>
      </w:r>
      <w:r w:rsidRPr="003009B4">
        <w:rPr>
          <w:rFonts w:eastAsia="SimSun"/>
          <w:sz w:val="22"/>
          <w:szCs w:val="22"/>
          <w:lang w:val="en-GB" w:eastAsia="en-US"/>
        </w:rPr>
        <w:t xml:space="preserve">fy that the IAB-MT transmit timing requirements </w:t>
      </w:r>
      <w:r w:rsidR="008C014E" w:rsidRPr="003009B4">
        <w:rPr>
          <w:rFonts w:eastAsia="SimSun"/>
          <w:sz w:val="22"/>
          <w:szCs w:val="22"/>
          <w:lang w:val="en-GB" w:eastAsia="en-US"/>
        </w:rPr>
        <w:t>are met by the IAB-MT</w:t>
      </w:r>
      <w:bookmarkEnd w:id="3"/>
      <w:r w:rsidR="008C014E" w:rsidRPr="003009B4">
        <w:rPr>
          <w:rFonts w:eastAsia="SimSun"/>
          <w:sz w:val="22"/>
          <w:szCs w:val="22"/>
          <w:lang w:val="en-GB" w:eastAsia="en-US"/>
        </w:rPr>
        <w:t xml:space="preserve">. </w:t>
      </w:r>
      <w:r w:rsidR="004A7FEE" w:rsidRPr="003009B4">
        <w:rPr>
          <w:rFonts w:eastAsia="SimSun"/>
          <w:sz w:val="22"/>
          <w:szCs w:val="22"/>
          <w:lang w:val="en-GB" w:eastAsia="en-US"/>
        </w:rPr>
        <w:t xml:space="preserve">In Rel-16, </w:t>
      </w:r>
      <w:r w:rsidR="004A7FEE">
        <w:rPr>
          <w:rFonts w:eastAsia="SimSun"/>
          <w:sz w:val="22"/>
          <w:szCs w:val="22"/>
          <w:lang w:val="en-GB" w:eastAsia="en-US"/>
        </w:rPr>
        <w:t xml:space="preserve">it was concluded not to define </w:t>
      </w:r>
      <w:r w:rsidR="004A7FEE" w:rsidRPr="003009B4">
        <w:rPr>
          <w:rFonts w:eastAsia="SimSun"/>
          <w:sz w:val="22"/>
          <w:szCs w:val="22"/>
          <w:lang w:val="en-GB" w:eastAsia="en-US"/>
        </w:rPr>
        <w:t xml:space="preserve">the test cases </w:t>
      </w:r>
      <w:r w:rsidR="0019173B">
        <w:rPr>
          <w:rFonts w:eastAsia="SimSun"/>
          <w:sz w:val="22"/>
          <w:szCs w:val="22"/>
          <w:lang w:val="en-GB" w:eastAsia="en-US"/>
        </w:rPr>
        <w:t xml:space="preserve">related to </w:t>
      </w:r>
      <w:r w:rsidR="004A7FEE" w:rsidRPr="003009B4">
        <w:rPr>
          <w:rFonts w:eastAsia="SimSun"/>
          <w:sz w:val="22"/>
          <w:szCs w:val="22"/>
          <w:lang w:val="en-GB" w:eastAsia="en-US"/>
        </w:rPr>
        <w:t xml:space="preserve">the IAB-MT TA adjustment accuracy requirements. </w:t>
      </w:r>
    </w:p>
    <w:p w14:paraId="7212737A" w14:textId="515CD765" w:rsidR="00443B32" w:rsidRPr="00F04F49" w:rsidRDefault="008C014E" w:rsidP="00082522">
      <w:pPr>
        <w:spacing w:before="240"/>
        <w:rPr>
          <w:rFonts w:eastAsia="SimSun"/>
          <w:sz w:val="22"/>
          <w:szCs w:val="22"/>
          <w:lang w:val="en-GB" w:eastAsia="en-US"/>
        </w:rPr>
      </w:pPr>
      <w:r w:rsidRPr="003009B4">
        <w:rPr>
          <w:rFonts w:eastAsia="SimSun"/>
          <w:sz w:val="22"/>
          <w:szCs w:val="22"/>
          <w:lang w:val="en-GB" w:eastAsia="en-US"/>
        </w:rPr>
        <w:t>The</w:t>
      </w:r>
      <w:r w:rsidR="003009B4">
        <w:rPr>
          <w:rFonts w:eastAsia="SimSun"/>
          <w:sz w:val="22"/>
          <w:szCs w:val="22"/>
          <w:lang w:val="en-GB" w:eastAsia="en-US"/>
        </w:rPr>
        <w:t>refore</w:t>
      </w:r>
      <w:r w:rsidR="0019173B">
        <w:rPr>
          <w:rFonts w:eastAsia="SimSun"/>
          <w:sz w:val="22"/>
          <w:szCs w:val="22"/>
          <w:lang w:val="en-GB" w:eastAsia="en-US"/>
        </w:rPr>
        <w:t>,</w:t>
      </w:r>
      <w:r w:rsidR="003009B4">
        <w:rPr>
          <w:rFonts w:eastAsia="SimSun"/>
          <w:sz w:val="22"/>
          <w:szCs w:val="22"/>
          <w:lang w:val="en-GB" w:eastAsia="en-US"/>
        </w:rPr>
        <w:t xml:space="preserve"> the</w:t>
      </w:r>
      <w:r w:rsidRPr="003009B4">
        <w:rPr>
          <w:rFonts w:eastAsia="SimSun"/>
          <w:sz w:val="22"/>
          <w:szCs w:val="22"/>
          <w:lang w:val="en-GB" w:eastAsia="en-US"/>
        </w:rPr>
        <w:t xml:space="preserve"> test</w:t>
      </w:r>
      <w:r w:rsidR="003009B4">
        <w:rPr>
          <w:rFonts w:eastAsia="SimSun"/>
          <w:sz w:val="22"/>
          <w:szCs w:val="22"/>
          <w:lang w:val="en-GB" w:eastAsia="en-US"/>
        </w:rPr>
        <w:t xml:space="preserve">s to verify the </w:t>
      </w:r>
      <w:r w:rsidRPr="003009B4">
        <w:rPr>
          <w:rFonts w:eastAsia="SimSun"/>
          <w:sz w:val="22"/>
          <w:szCs w:val="22"/>
          <w:lang w:val="en-GB" w:eastAsia="en-US"/>
        </w:rPr>
        <w:t xml:space="preserve">IAB-MT transmit timing requirements and TA adjustment accuracy requirements under Case 1 </w:t>
      </w:r>
      <w:r w:rsidR="003009B4">
        <w:rPr>
          <w:rFonts w:eastAsia="SimSun"/>
          <w:sz w:val="22"/>
          <w:szCs w:val="22"/>
          <w:lang w:val="en-GB" w:eastAsia="en-US"/>
        </w:rPr>
        <w:t>will not give</w:t>
      </w:r>
      <w:r w:rsidR="00F04F49">
        <w:rPr>
          <w:rFonts w:eastAsia="SimSun"/>
          <w:sz w:val="22"/>
          <w:szCs w:val="22"/>
          <w:lang w:val="en-GB" w:eastAsia="en-US"/>
        </w:rPr>
        <w:t xml:space="preserve"> any additional benefit. In summary no RRM test case is required for IAB-MT in Rel-17.</w:t>
      </w:r>
      <w:r w:rsidR="00DE7191" w:rsidRPr="003009B4">
        <w:rPr>
          <w:rFonts w:eastAsia="SimSun"/>
          <w:sz w:val="22"/>
          <w:szCs w:val="22"/>
          <w:lang w:val="en-GB" w:eastAsia="en-US"/>
        </w:rPr>
        <w:t xml:space="preserve"> 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72F2FB09" w14:textId="08F697C8" w:rsidR="00171316" w:rsidRPr="00F04F49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AD4DAC">
        <w:rPr>
          <w:sz w:val="22"/>
          <w:szCs w:val="22"/>
          <w:lang w:val="en-US"/>
        </w:rPr>
        <w:t xml:space="preserve">The following are the observations and proposals </w:t>
      </w:r>
      <w:r w:rsidR="00F04F49">
        <w:rPr>
          <w:sz w:val="22"/>
          <w:szCs w:val="22"/>
          <w:lang w:val="en-US"/>
        </w:rPr>
        <w:t>related to IAB-MT RRM performance</w:t>
      </w:r>
      <w:r w:rsidR="00E5047A">
        <w:rPr>
          <w:sz w:val="22"/>
          <w:szCs w:val="22"/>
          <w:lang w:val="en-US"/>
        </w:rPr>
        <w:t xml:space="preserve"> requirements</w:t>
      </w:r>
      <w:r w:rsidR="001C1D0D" w:rsidRPr="00D83109">
        <w:rPr>
          <w:sz w:val="22"/>
          <w:szCs w:val="22"/>
          <w:lang w:val="en-US"/>
        </w:rPr>
        <w:t>:</w:t>
      </w:r>
    </w:p>
    <w:p w14:paraId="567011C4" w14:textId="2CBA7B62" w:rsidR="001A7FAB" w:rsidRPr="00E5047A" w:rsidRDefault="001A7FAB" w:rsidP="001A7FAB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E5047A">
        <w:rPr>
          <w:rFonts w:ascii="Times New Roman" w:hAnsi="Times New Roman"/>
          <w:b/>
          <w:bCs/>
          <w:sz w:val="18"/>
          <w:szCs w:val="18"/>
        </w:rPr>
        <w:t xml:space="preserve">Observation </w:t>
      </w:r>
      <w:r w:rsidR="00AA440C" w:rsidRPr="00E5047A">
        <w:rPr>
          <w:rFonts w:ascii="Times New Roman" w:hAnsi="Times New Roman"/>
          <w:b/>
          <w:bCs/>
          <w:sz w:val="18"/>
          <w:szCs w:val="18"/>
        </w:rPr>
        <w:t>1</w:t>
      </w:r>
      <w:r w:rsidRPr="00E5047A">
        <w:rPr>
          <w:rFonts w:ascii="Times New Roman" w:hAnsi="Times New Roman"/>
          <w:sz w:val="18"/>
          <w:szCs w:val="18"/>
        </w:rPr>
        <w:t>:</w:t>
      </w:r>
      <w:r w:rsidR="00F04F49" w:rsidRPr="00E5047A">
        <w:rPr>
          <w:rFonts w:ascii="Times New Roman" w:hAnsi="Times New Roman"/>
          <w:sz w:val="18"/>
          <w:szCs w:val="18"/>
        </w:rPr>
        <w:t xml:space="preserve"> In Rel-17, the existing IAB-MT transmit timing requirements defined in clause 12.2.1 are made applicable for IAB-MT when the indicated IAB-MT transmission timing mode is set to ‘Case 1’</w:t>
      </w:r>
      <w:r w:rsidRPr="00E5047A">
        <w:rPr>
          <w:rFonts w:ascii="Times New Roman" w:hAnsi="Times New Roman"/>
          <w:sz w:val="18"/>
          <w:szCs w:val="18"/>
        </w:rPr>
        <w:t>.</w:t>
      </w:r>
    </w:p>
    <w:p w14:paraId="409EE202" w14:textId="2ADB1D77" w:rsidR="00F51B8F" w:rsidRPr="00E5047A" w:rsidRDefault="00F51B8F" w:rsidP="00F51B8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E5047A">
        <w:rPr>
          <w:rFonts w:ascii="Times New Roman" w:hAnsi="Times New Roman"/>
          <w:b/>
          <w:bCs/>
          <w:sz w:val="18"/>
          <w:szCs w:val="18"/>
        </w:rPr>
        <w:t>Observation 2</w:t>
      </w:r>
      <w:r w:rsidRPr="00E5047A">
        <w:rPr>
          <w:rFonts w:ascii="Times New Roman" w:hAnsi="Times New Roman"/>
          <w:sz w:val="18"/>
          <w:szCs w:val="18"/>
        </w:rPr>
        <w:t>:</w:t>
      </w:r>
      <w:r w:rsidR="00F04F49" w:rsidRPr="00E5047A">
        <w:rPr>
          <w:rFonts w:ascii="Times New Roman" w:hAnsi="Times New Roman"/>
          <w:sz w:val="18"/>
          <w:szCs w:val="18"/>
        </w:rPr>
        <w:t xml:space="preserve"> The existing IAB-MT TA adjustment accuracy requirements defined in clause 12.2.3 are made applicable for IAB-MT when the indicated IAB-MT transmission timing mode is set to ‘Case 1’.</w:t>
      </w:r>
    </w:p>
    <w:p w14:paraId="3D138B2E" w14:textId="47A1EFC2" w:rsidR="00F51B8F" w:rsidRPr="00E5047A" w:rsidRDefault="00F51B8F" w:rsidP="00F51B8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E5047A">
        <w:rPr>
          <w:rFonts w:ascii="Times New Roman" w:hAnsi="Times New Roman"/>
          <w:b/>
          <w:bCs/>
          <w:sz w:val="18"/>
          <w:szCs w:val="18"/>
        </w:rPr>
        <w:t>Observation 3</w:t>
      </w:r>
      <w:r w:rsidRPr="00E5047A">
        <w:rPr>
          <w:rFonts w:ascii="Times New Roman" w:hAnsi="Times New Roman"/>
          <w:sz w:val="18"/>
          <w:szCs w:val="18"/>
        </w:rPr>
        <w:t xml:space="preserve">: </w:t>
      </w:r>
      <w:r w:rsidR="0019173B" w:rsidRPr="00E5047A">
        <w:rPr>
          <w:rFonts w:ascii="Times New Roman" w:hAnsi="Times New Roman"/>
          <w:sz w:val="18"/>
          <w:szCs w:val="18"/>
        </w:rPr>
        <w:t>Rel-16 test cases already verify that the IAB-MT transmit timing requirements are met by the IAB-MT</w:t>
      </w:r>
      <w:r w:rsidRPr="00E5047A">
        <w:rPr>
          <w:rFonts w:ascii="Times New Roman" w:hAnsi="Times New Roman"/>
          <w:sz w:val="18"/>
          <w:szCs w:val="18"/>
        </w:rPr>
        <w:t>.</w:t>
      </w:r>
    </w:p>
    <w:p w14:paraId="14D25864" w14:textId="6BF18EF2" w:rsidR="00F51B8F" w:rsidRPr="00E5047A" w:rsidRDefault="00F51B8F" w:rsidP="00F51B8F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E5047A">
        <w:rPr>
          <w:rFonts w:ascii="Times New Roman" w:hAnsi="Times New Roman"/>
          <w:b/>
          <w:bCs/>
          <w:sz w:val="18"/>
          <w:szCs w:val="18"/>
        </w:rPr>
        <w:t xml:space="preserve">Observation </w:t>
      </w:r>
      <w:r w:rsidR="00F07D5C" w:rsidRPr="00E5047A">
        <w:rPr>
          <w:rFonts w:ascii="Times New Roman" w:hAnsi="Times New Roman"/>
          <w:b/>
          <w:bCs/>
          <w:sz w:val="18"/>
          <w:szCs w:val="18"/>
        </w:rPr>
        <w:t>4</w:t>
      </w:r>
      <w:r w:rsidRPr="00E5047A">
        <w:rPr>
          <w:rFonts w:ascii="Times New Roman" w:hAnsi="Times New Roman"/>
          <w:sz w:val="18"/>
          <w:szCs w:val="18"/>
        </w:rPr>
        <w:t xml:space="preserve">: </w:t>
      </w:r>
      <w:r w:rsidR="0019173B" w:rsidRPr="00E5047A">
        <w:rPr>
          <w:rFonts w:ascii="Times New Roman" w:hAnsi="Times New Roman"/>
          <w:sz w:val="18"/>
          <w:szCs w:val="18"/>
        </w:rPr>
        <w:t>In Rel-16, it was concluded not to define any test case related to the IAB-MT TA adjustment accuracy requirements</w:t>
      </w:r>
      <w:r w:rsidRPr="00E5047A">
        <w:rPr>
          <w:rFonts w:ascii="Times New Roman" w:hAnsi="Times New Roman"/>
          <w:sz w:val="18"/>
          <w:szCs w:val="18"/>
        </w:rPr>
        <w:t>.</w:t>
      </w:r>
    </w:p>
    <w:p w14:paraId="1A546ABC" w14:textId="4224230D" w:rsidR="00816B96" w:rsidRPr="00E5047A" w:rsidRDefault="00816B96" w:rsidP="00816B96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E5047A">
        <w:rPr>
          <w:rFonts w:ascii="Times New Roman" w:hAnsi="Times New Roman"/>
          <w:b/>
          <w:bCs/>
          <w:sz w:val="18"/>
          <w:szCs w:val="18"/>
        </w:rPr>
        <w:t xml:space="preserve">Observation </w:t>
      </w:r>
      <w:r w:rsidR="00F07D5C" w:rsidRPr="00E5047A">
        <w:rPr>
          <w:rFonts w:ascii="Times New Roman" w:hAnsi="Times New Roman"/>
          <w:b/>
          <w:bCs/>
          <w:sz w:val="18"/>
          <w:szCs w:val="18"/>
        </w:rPr>
        <w:t>5</w:t>
      </w:r>
      <w:r w:rsidRPr="00E5047A">
        <w:rPr>
          <w:rFonts w:ascii="Times New Roman" w:hAnsi="Times New Roman"/>
          <w:sz w:val="18"/>
          <w:szCs w:val="18"/>
        </w:rPr>
        <w:t>:</w:t>
      </w:r>
      <w:r w:rsidR="0019173B" w:rsidRPr="00E5047A">
        <w:rPr>
          <w:rFonts w:ascii="Times New Roman" w:hAnsi="Times New Roman"/>
          <w:sz w:val="18"/>
          <w:szCs w:val="18"/>
        </w:rPr>
        <w:t xml:space="preserve"> Any test to verify the IAB-MT transmit timing requirements and/or TA adjustment accuracy requirements under Case 1 will not give any benefit. </w:t>
      </w:r>
    </w:p>
    <w:p w14:paraId="38A8F316" w14:textId="3639A986" w:rsidR="008306B4" w:rsidRPr="00E5047A" w:rsidRDefault="00171316" w:rsidP="00E87A2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18"/>
          <w:szCs w:val="18"/>
        </w:rPr>
      </w:pPr>
      <w:r w:rsidRPr="00E5047A">
        <w:rPr>
          <w:rFonts w:ascii="Times New Roman" w:hAnsi="Times New Roman"/>
          <w:b/>
          <w:bCs/>
          <w:sz w:val="18"/>
          <w:szCs w:val="18"/>
        </w:rPr>
        <w:t>Proposal #</w:t>
      </w:r>
      <w:r w:rsidR="00D733A4" w:rsidRPr="00E5047A">
        <w:rPr>
          <w:rFonts w:ascii="Times New Roman" w:hAnsi="Times New Roman"/>
          <w:b/>
          <w:bCs/>
          <w:sz w:val="18"/>
          <w:szCs w:val="18"/>
        </w:rPr>
        <w:t>1</w:t>
      </w:r>
      <w:r w:rsidRPr="00E5047A">
        <w:rPr>
          <w:rFonts w:ascii="Times New Roman" w:hAnsi="Times New Roman"/>
          <w:sz w:val="18"/>
          <w:szCs w:val="18"/>
        </w:rPr>
        <w:t xml:space="preserve">: </w:t>
      </w:r>
      <w:r w:rsidR="00D01C72" w:rsidRPr="00E5047A">
        <w:rPr>
          <w:rFonts w:ascii="Times New Roman" w:hAnsi="Times New Roman"/>
          <w:sz w:val="18"/>
          <w:szCs w:val="18"/>
        </w:rPr>
        <w:t xml:space="preserve">Do not define any </w:t>
      </w:r>
      <w:r w:rsidR="00D733A4" w:rsidRPr="00E5047A">
        <w:rPr>
          <w:rFonts w:ascii="Times New Roman" w:hAnsi="Times New Roman"/>
          <w:sz w:val="18"/>
          <w:szCs w:val="18"/>
        </w:rPr>
        <w:t xml:space="preserve">RRM </w:t>
      </w:r>
      <w:r w:rsidR="0019173B" w:rsidRPr="00E5047A">
        <w:rPr>
          <w:rFonts w:ascii="Times New Roman" w:hAnsi="Times New Roman"/>
          <w:sz w:val="18"/>
          <w:szCs w:val="18"/>
        </w:rPr>
        <w:t>test case</w:t>
      </w:r>
      <w:r w:rsidR="00D01C72" w:rsidRPr="00E5047A">
        <w:rPr>
          <w:rFonts w:ascii="Times New Roman" w:hAnsi="Times New Roman"/>
          <w:sz w:val="18"/>
          <w:szCs w:val="18"/>
        </w:rPr>
        <w:t>s related to</w:t>
      </w:r>
      <w:r w:rsidR="00D733A4" w:rsidRPr="00E5047A">
        <w:rPr>
          <w:rFonts w:ascii="Times New Roman" w:hAnsi="Times New Roman"/>
          <w:sz w:val="18"/>
          <w:szCs w:val="18"/>
        </w:rPr>
        <w:t xml:space="preserve"> IAB-MT</w:t>
      </w:r>
      <w:r w:rsidR="00D01C72" w:rsidRPr="00E5047A">
        <w:rPr>
          <w:rFonts w:ascii="Times New Roman" w:hAnsi="Times New Roman"/>
          <w:sz w:val="18"/>
          <w:szCs w:val="18"/>
        </w:rPr>
        <w:t xml:space="preserve"> in Rel-17</w:t>
      </w:r>
      <w:r w:rsidRPr="00E5047A">
        <w:rPr>
          <w:rFonts w:ascii="Times New Roman" w:hAnsi="Times New Roman"/>
          <w:sz w:val="18"/>
          <w:szCs w:val="18"/>
        </w:rPr>
        <w:t xml:space="preserve">. </w:t>
      </w:r>
    </w:p>
    <w:p w14:paraId="4F407A74" w14:textId="0EA81A66" w:rsidR="00C8565F" w:rsidRPr="0064384A" w:rsidRDefault="00C8565F" w:rsidP="00C856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</w:p>
    <w:p w14:paraId="6CDB067D" w14:textId="0C24A991" w:rsidR="00EB2DE7" w:rsidRDefault="00666678" w:rsidP="00F62C01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666678">
        <w:rPr>
          <w:rFonts w:ascii="Times New Roman" w:hAnsi="Times New Roman"/>
          <w:sz w:val="18"/>
          <w:szCs w:val="18"/>
          <w:lang w:val="en-GB"/>
        </w:rPr>
        <w:t>R4-2</w:t>
      </w:r>
      <w:r w:rsidR="00F53F9F">
        <w:rPr>
          <w:rFonts w:ascii="Times New Roman" w:hAnsi="Times New Roman"/>
          <w:sz w:val="18"/>
          <w:szCs w:val="18"/>
          <w:lang w:val="en-GB"/>
        </w:rPr>
        <w:t>20</w:t>
      </w:r>
      <w:r w:rsidR="00A96A4E">
        <w:rPr>
          <w:rFonts w:ascii="Times New Roman" w:hAnsi="Times New Roman"/>
          <w:sz w:val="18"/>
          <w:szCs w:val="18"/>
          <w:lang w:val="en-GB"/>
        </w:rPr>
        <w:t>6932</w:t>
      </w:r>
      <w:r w:rsidR="007C7F17" w:rsidRPr="007C7F17">
        <w:rPr>
          <w:rFonts w:ascii="Times New Roman" w:hAnsi="Times New Roman"/>
          <w:sz w:val="18"/>
          <w:szCs w:val="18"/>
        </w:rPr>
        <w:t xml:space="preserve">, </w:t>
      </w:r>
      <w:r w:rsidR="00590FF2" w:rsidRPr="00590FF2">
        <w:rPr>
          <w:rFonts w:ascii="Times New Roman" w:hAnsi="Times New Roman"/>
          <w:sz w:val="18"/>
          <w:szCs w:val="18"/>
          <w:lang w:val="en-GB"/>
        </w:rPr>
        <w:t xml:space="preserve">WF on </w:t>
      </w:r>
      <w:r w:rsidR="00445B0A" w:rsidRPr="00445B0A">
        <w:rPr>
          <w:rFonts w:ascii="Times New Roman" w:hAnsi="Times New Roman"/>
          <w:sz w:val="18"/>
          <w:szCs w:val="18"/>
          <w:lang w:val="en-GB"/>
        </w:rPr>
        <w:t>RRM aspects of IAB enhancement</w:t>
      </w:r>
      <w:r w:rsidR="007C7F17">
        <w:rPr>
          <w:rFonts w:ascii="Times New Roman" w:hAnsi="Times New Roman"/>
          <w:sz w:val="18"/>
          <w:szCs w:val="18"/>
        </w:rPr>
        <w:t>,</w:t>
      </w:r>
      <w:r w:rsidR="00590FF2">
        <w:rPr>
          <w:rFonts w:ascii="Times New Roman" w:hAnsi="Times New Roman"/>
          <w:sz w:val="18"/>
          <w:szCs w:val="18"/>
        </w:rPr>
        <w:t xml:space="preserve"> ZTE</w:t>
      </w:r>
      <w:r w:rsidR="00DE6850">
        <w:rPr>
          <w:rFonts w:ascii="Times New Roman" w:hAnsi="Times New Roman"/>
          <w:sz w:val="18"/>
          <w:szCs w:val="18"/>
        </w:rPr>
        <w:t>.</w:t>
      </w:r>
      <w:bookmarkEnd w:id="1"/>
      <w:bookmarkEnd w:id="2"/>
    </w:p>
    <w:sectPr w:rsidR="00EB2D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10396" w14:textId="77777777" w:rsidR="003757EB" w:rsidRDefault="003757EB">
      <w:r>
        <w:separator/>
      </w:r>
    </w:p>
  </w:endnote>
  <w:endnote w:type="continuationSeparator" w:id="0">
    <w:p w14:paraId="4CB79D24" w14:textId="77777777" w:rsidR="003757EB" w:rsidRDefault="0037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64146" w14:textId="77777777" w:rsidR="003757EB" w:rsidRDefault="003757EB">
      <w:r>
        <w:separator/>
      </w:r>
    </w:p>
  </w:footnote>
  <w:footnote w:type="continuationSeparator" w:id="0">
    <w:p w14:paraId="5527A32F" w14:textId="77777777" w:rsidR="003757EB" w:rsidRDefault="00375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40B"/>
    <w:multiLevelType w:val="hybridMultilevel"/>
    <w:tmpl w:val="57189C6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5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E5548B"/>
    <w:multiLevelType w:val="multilevel"/>
    <w:tmpl w:val="5030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A52742"/>
    <w:multiLevelType w:val="multilevel"/>
    <w:tmpl w:val="96CE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9" w15:restartNumberingAfterBreak="0">
    <w:nsid w:val="35605F5F"/>
    <w:multiLevelType w:val="hybridMultilevel"/>
    <w:tmpl w:val="36FE1A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C57EA3"/>
    <w:multiLevelType w:val="hybridMultilevel"/>
    <w:tmpl w:val="2E0AB34C"/>
    <w:lvl w:ilvl="0" w:tplc="1ABAAE1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16231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AE2B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D26D2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0A55A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F4594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72C0D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A0FA6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EE11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84327F"/>
    <w:multiLevelType w:val="multilevel"/>
    <w:tmpl w:val="0436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7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AA1F02"/>
    <w:multiLevelType w:val="hybridMultilevel"/>
    <w:tmpl w:val="A34ACA4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5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8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414CE9"/>
    <w:multiLevelType w:val="hybridMultilevel"/>
    <w:tmpl w:val="A8BA9092"/>
    <w:lvl w:ilvl="0" w:tplc="5B88CE8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F558D"/>
    <w:multiLevelType w:val="hybridMultilevel"/>
    <w:tmpl w:val="998E5D1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A526B27"/>
    <w:multiLevelType w:val="multilevel"/>
    <w:tmpl w:val="8CD437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8"/>
  </w:num>
  <w:num w:numId="3">
    <w:abstractNumId w:val="47"/>
  </w:num>
  <w:num w:numId="4">
    <w:abstractNumId w:val="3"/>
  </w:num>
  <w:num w:numId="5">
    <w:abstractNumId w:val="21"/>
  </w:num>
  <w:num w:numId="6">
    <w:abstractNumId w:val="46"/>
  </w:num>
  <w:num w:numId="7">
    <w:abstractNumId w:val="37"/>
  </w:num>
  <w:num w:numId="8">
    <w:abstractNumId w:val="33"/>
  </w:num>
  <w:num w:numId="9">
    <w:abstractNumId w:val="7"/>
  </w:num>
  <w:num w:numId="10">
    <w:abstractNumId w:val="18"/>
  </w:num>
  <w:num w:numId="11">
    <w:abstractNumId w:val="11"/>
  </w:num>
  <w:num w:numId="12">
    <w:abstractNumId w:val="14"/>
  </w:num>
  <w:num w:numId="13">
    <w:abstractNumId w:val="15"/>
  </w:num>
  <w:num w:numId="14">
    <w:abstractNumId w:val="5"/>
  </w:num>
  <w:num w:numId="15">
    <w:abstractNumId w:val="4"/>
  </w:num>
  <w:num w:numId="16">
    <w:abstractNumId w:val="35"/>
  </w:num>
  <w:num w:numId="17">
    <w:abstractNumId w:val="13"/>
  </w:num>
  <w:num w:numId="18">
    <w:abstractNumId w:val="45"/>
  </w:num>
  <w:num w:numId="19">
    <w:abstractNumId w:val="28"/>
  </w:num>
  <w:num w:numId="20">
    <w:abstractNumId w:val="26"/>
  </w:num>
  <w:num w:numId="21">
    <w:abstractNumId w:val="24"/>
  </w:num>
  <w:num w:numId="22">
    <w:abstractNumId w:val="30"/>
  </w:num>
  <w:num w:numId="23">
    <w:abstractNumId w:val="17"/>
  </w:num>
  <w:num w:numId="24">
    <w:abstractNumId w:val="39"/>
  </w:num>
  <w:num w:numId="25">
    <w:abstractNumId w:val="12"/>
  </w:num>
  <w:num w:numId="26">
    <w:abstractNumId w:val="34"/>
  </w:num>
  <w:num w:numId="27">
    <w:abstractNumId w:val="0"/>
  </w:num>
  <w:num w:numId="28">
    <w:abstractNumId w:val="40"/>
  </w:num>
  <w:num w:numId="29">
    <w:abstractNumId w:val="20"/>
  </w:num>
  <w:num w:numId="30">
    <w:abstractNumId w:val="22"/>
  </w:num>
  <w:num w:numId="31">
    <w:abstractNumId w:val="36"/>
  </w:num>
  <w:num w:numId="32">
    <w:abstractNumId w:val="27"/>
  </w:num>
  <w:num w:numId="33">
    <w:abstractNumId w:val="6"/>
  </w:num>
  <w:num w:numId="34">
    <w:abstractNumId w:val="1"/>
  </w:num>
  <w:num w:numId="35">
    <w:abstractNumId w:val="16"/>
  </w:num>
  <w:num w:numId="36">
    <w:abstractNumId w:val="38"/>
  </w:num>
  <w:num w:numId="37">
    <w:abstractNumId w:val="42"/>
  </w:num>
  <w:num w:numId="38">
    <w:abstractNumId w:val="9"/>
  </w:num>
  <w:num w:numId="39">
    <w:abstractNumId w:val="23"/>
  </w:num>
  <w:num w:numId="40">
    <w:abstractNumId w:val="25"/>
  </w:num>
  <w:num w:numId="41">
    <w:abstractNumId w:val="10"/>
  </w:num>
  <w:num w:numId="42">
    <w:abstractNumId w:val="31"/>
  </w:num>
  <w:num w:numId="43">
    <w:abstractNumId w:val="19"/>
  </w:num>
  <w:num w:numId="44">
    <w:abstractNumId w:val="29"/>
  </w:num>
  <w:num w:numId="45">
    <w:abstractNumId w:val="2"/>
  </w:num>
  <w:num w:numId="46">
    <w:abstractNumId w:val="32"/>
  </w:num>
  <w:num w:numId="47">
    <w:abstractNumId w:val="41"/>
  </w:num>
  <w:num w:numId="48">
    <w:abstractNumId w:val="4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1190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7054"/>
    <w:rsid w:val="00347873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7EB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4D3E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1F50"/>
    <w:rsid w:val="005620D7"/>
    <w:rsid w:val="00562843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619"/>
    <w:rsid w:val="008C3943"/>
    <w:rsid w:val="008C3A02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7FE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B6B"/>
    <w:rsid w:val="00F51B8F"/>
    <w:rsid w:val="00F52204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792E"/>
    <w:rsid w:val="00F80396"/>
    <w:rsid w:val="00F806BB"/>
    <w:rsid w:val="00F81E41"/>
    <w:rsid w:val="00F824CE"/>
    <w:rsid w:val="00F82513"/>
    <w:rsid w:val="00F827A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5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1</Pages>
  <Words>410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43</cp:revision>
  <cp:lastPrinted>1899-12-31T23:00:00Z</cp:lastPrinted>
  <dcterms:created xsi:type="dcterms:W3CDTF">2022-02-14T19:00:00Z</dcterms:created>
  <dcterms:modified xsi:type="dcterms:W3CDTF">2022-04-25T22:05:00Z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